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pPr>
      <w:r>
        <w:rPr/>
        <w:t>BAŞHEKİMLİK</w:t>
      </w:r>
      <w:r>
        <w:rPr>
          <w:spacing w:val="-5"/>
        </w:rPr>
        <w:t> </w:t>
      </w:r>
      <w:r>
        <w:rPr>
          <w:spacing w:val="-2"/>
        </w:rPr>
        <w:t>MAKAMINA</w:t>
      </w:r>
    </w:p>
    <w:p>
      <w:pPr>
        <w:pStyle w:val="BodyText"/>
        <w:spacing w:before="240"/>
      </w:pPr>
      <w:r>
        <w:rPr>
          <w:b/>
        </w:rPr>
        <w:t>KONU</w:t>
      </w:r>
      <w:r>
        <w:rPr>
          <w:b/>
          <w:spacing w:val="63"/>
          <w:w w:val="150"/>
        </w:rPr>
        <w:t> </w:t>
      </w:r>
      <w:r>
        <w:rPr>
          <w:b/>
        </w:rPr>
        <w:t>:</w:t>
      </w:r>
      <w:r>
        <w:rPr>
          <w:b/>
          <w:spacing w:val="44"/>
        </w:rPr>
        <w:t> </w:t>
      </w:r>
      <w:r>
        <w:rPr/>
        <w:t>TIBBİ</w:t>
      </w:r>
      <w:r>
        <w:rPr>
          <w:spacing w:val="-3"/>
        </w:rPr>
        <w:t> </w:t>
      </w:r>
      <w:r>
        <w:rPr/>
        <w:t>GÖRÜNTÜLEME</w:t>
      </w:r>
      <w:r>
        <w:rPr>
          <w:spacing w:val="-4"/>
        </w:rPr>
        <w:t> </w:t>
      </w:r>
      <w:r>
        <w:rPr/>
        <w:t>TEKNİSYENLERİNİN</w:t>
      </w:r>
      <w:r>
        <w:rPr>
          <w:spacing w:val="-6"/>
        </w:rPr>
        <w:t> </w:t>
      </w:r>
      <w:r>
        <w:rPr/>
        <w:t>/</w:t>
      </w:r>
      <w:r>
        <w:rPr>
          <w:spacing w:val="-3"/>
        </w:rPr>
        <w:t> </w:t>
      </w:r>
      <w:r>
        <w:rPr/>
        <w:t>TEKNİKERLERİNİN”</w:t>
      </w:r>
      <w:r>
        <w:rPr>
          <w:spacing w:val="-5"/>
        </w:rPr>
        <w:t> </w:t>
      </w:r>
      <w:r>
        <w:rPr/>
        <w:t>GÖREV</w:t>
      </w:r>
      <w:r>
        <w:rPr>
          <w:spacing w:val="-6"/>
        </w:rPr>
        <w:t> </w:t>
      </w:r>
      <w:r>
        <w:rPr>
          <w:spacing w:val="-2"/>
        </w:rPr>
        <w:t>TANIMLARI</w:t>
      </w:r>
    </w:p>
    <w:p>
      <w:pPr>
        <w:pStyle w:val="Heading1"/>
        <w:spacing w:before="241"/>
      </w:pPr>
      <w:r>
        <w:rPr>
          <w:spacing w:val="-2"/>
        </w:rPr>
        <w:t>AÇIKLAMALAR</w:t>
      </w:r>
    </w:p>
    <w:p>
      <w:pPr>
        <w:pStyle w:val="BodyText"/>
        <w:spacing w:before="240"/>
        <w:ind w:right="139"/>
      </w:pPr>
      <w:r>
        <w:rPr>
          <w:b/>
        </w:rPr>
        <w:t>1-)</w:t>
      </w:r>
      <w:r>
        <w:rPr>
          <w:b/>
          <w:spacing w:val="80"/>
        </w:rPr>
        <w:t> </w:t>
      </w:r>
      <w:r>
        <w:rPr/>
        <w:t>22.05.2014 tarih ve 29007 sayılı Resmi Gazete’de, Sağlık Meslek Mensupları ile Sağlık Hizmetlerinde Çalışan Diğer Meslek Mensuplarının İş ve Görev Tanımlarına Dair Yönetmelik yayımlanmıştır. Yönetmeliğin ekinde yer alan “Sağlık Meslek Mensuplarının İş ve Görev Tanımları” başlığı altındaki Ek-1/B bölümündeki “Tıbbi Görüntüleme Teknisyeni/Teknikeri” başlıklı bölümünün</w:t>
      </w:r>
      <w:r>
        <w:rPr>
          <w:spacing w:val="40"/>
        </w:rPr>
        <w:t> </w:t>
      </w:r>
      <w:r>
        <w:rPr/>
        <w:t>“f” bendinde, “Uzman eşliğinde radyonüklid görüntüleme ve floroskopi yapar.”, “g” bendinde ise, “Hekim eşliğinde radyoopak madde enjeksiyonu yapar.” düzenlemelerine yer verilmiştir.</w:t>
      </w:r>
    </w:p>
    <w:p>
      <w:pPr>
        <w:pStyle w:val="BodyText"/>
        <w:spacing w:before="1"/>
        <w:ind w:right="213"/>
      </w:pPr>
      <w:r>
        <w:rPr>
          <w:b/>
        </w:rPr>
        <w:t>2-)</w:t>
      </w:r>
      <w:r>
        <w:rPr>
          <w:b/>
          <w:spacing w:val="40"/>
        </w:rPr>
        <w:t>  </w:t>
      </w:r>
      <w:r>
        <w:rPr/>
        <w:t>Danıştay</w:t>
      </w:r>
      <w:r>
        <w:rPr>
          <w:spacing w:val="40"/>
        </w:rPr>
        <w:t> </w:t>
      </w:r>
      <w:r>
        <w:rPr/>
        <w:t>İdari</w:t>
      </w:r>
      <w:r>
        <w:rPr>
          <w:spacing w:val="40"/>
        </w:rPr>
        <w:t> </w:t>
      </w:r>
      <w:r>
        <w:rPr/>
        <w:t>Dava</w:t>
      </w:r>
      <w:r>
        <w:rPr>
          <w:spacing w:val="40"/>
        </w:rPr>
        <w:t> </w:t>
      </w:r>
      <w:r>
        <w:rPr/>
        <w:t>Daireleri</w:t>
      </w:r>
      <w:r>
        <w:rPr>
          <w:spacing w:val="40"/>
        </w:rPr>
        <w:t> </w:t>
      </w:r>
      <w:r>
        <w:rPr/>
        <w:t>Kurulu</w:t>
      </w:r>
      <w:r>
        <w:rPr>
          <w:spacing w:val="40"/>
        </w:rPr>
        <w:t> </w:t>
      </w:r>
      <w:r>
        <w:rPr/>
        <w:t>tarafından</w:t>
      </w:r>
      <w:r>
        <w:rPr>
          <w:spacing w:val="40"/>
        </w:rPr>
        <w:t> </w:t>
      </w:r>
      <w:r>
        <w:rPr/>
        <w:t>22.10.2018</w:t>
      </w:r>
      <w:r>
        <w:rPr>
          <w:spacing w:val="40"/>
        </w:rPr>
        <w:t> </w:t>
      </w:r>
      <w:r>
        <w:rPr/>
        <w:t>tarihli</w:t>
      </w:r>
      <w:r>
        <w:rPr>
          <w:spacing w:val="40"/>
        </w:rPr>
        <w:t> </w:t>
      </w:r>
      <w:r>
        <w:rPr/>
        <w:t>kararla,</w:t>
      </w:r>
      <w:r>
        <w:rPr>
          <w:spacing w:val="40"/>
        </w:rPr>
        <w:t> </w:t>
      </w:r>
      <w:r>
        <w:rPr/>
        <w:t>her</w:t>
      </w:r>
      <w:r>
        <w:rPr>
          <w:spacing w:val="40"/>
        </w:rPr>
        <w:t> </w:t>
      </w:r>
      <w:r>
        <w:rPr/>
        <w:t>iki düzenlemenin de iptaline karar verilmiştir.</w:t>
      </w:r>
    </w:p>
    <w:p>
      <w:pPr>
        <w:pStyle w:val="BodyText"/>
        <w:spacing w:before="1"/>
        <w:ind w:right="137"/>
      </w:pPr>
      <w:r>
        <w:rPr>
          <w:b/>
        </w:rPr>
        <w:t>3-)</w:t>
      </w:r>
      <w:r>
        <w:rPr>
          <w:b/>
          <w:spacing w:val="80"/>
        </w:rPr>
        <w:t>  </w:t>
      </w:r>
      <w:r>
        <w:rPr/>
        <w:t>20.11.2021 tarih ve 31665 sayılı Resmi Gazete’de yayımlanan “Sağlık Meslek Mensupları ile Sağlık Hizmetlerinde Çalışan Diğer Meslek Mensuplarının İş ve Görev Tanımlarına Dair Yönetmelikte Değişiklik Yapılmasına Dair Yönetmeliğin” 2. maddesinde, asıl Yönetmeliğin Ek-1/B’sinde yer alan “Tıbbi görüntüleme teknisyeni/teknikeri” başlıklı bölümün (f) ve (g) bentleri aşağıdaki şekilde yeniden </w:t>
      </w:r>
      <w:r>
        <w:rPr>
          <w:spacing w:val="-2"/>
        </w:rPr>
        <w:t>düzenlenmiştir.</w:t>
      </w:r>
    </w:p>
    <w:p>
      <w:pPr>
        <w:pStyle w:val="BodyText"/>
        <w:spacing w:line="267" w:lineRule="exact"/>
      </w:pPr>
      <w:r>
        <w:rPr/>
        <w:t>“f)</w:t>
      </w:r>
      <w:r>
        <w:rPr>
          <w:spacing w:val="-6"/>
        </w:rPr>
        <w:t> </w:t>
      </w:r>
      <w:r>
        <w:rPr/>
        <w:t>Uzman</w:t>
      </w:r>
      <w:r>
        <w:rPr>
          <w:spacing w:val="-7"/>
        </w:rPr>
        <w:t> </w:t>
      </w:r>
      <w:r>
        <w:rPr/>
        <w:t>tabip</w:t>
      </w:r>
      <w:r>
        <w:rPr>
          <w:spacing w:val="-8"/>
        </w:rPr>
        <w:t> </w:t>
      </w:r>
      <w:r>
        <w:rPr/>
        <w:t>gözetiminde</w:t>
      </w:r>
      <w:r>
        <w:rPr>
          <w:spacing w:val="-6"/>
        </w:rPr>
        <w:t> </w:t>
      </w:r>
      <w:r>
        <w:rPr/>
        <w:t>radyonüklid</w:t>
      </w:r>
      <w:r>
        <w:rPr>
          <w:spacing w:val="-7"/>
        </w:rPr>
        <w:t> </w:t>
      </w:r>
      <w:r>
        <w:rPr/>
        <w:t>görüntüleme</w:t>
      </w:r>
      <w:r>
        <w:rPr>
          <w:spacing w:val="-6"/>
        </w:rPr>
        <w:t> </w:t>
      </w:r>
      <w:r>
        <w:rPr/>
        <w:t>ve</w:t>
      </w:r>
      <w:r>
        <w:rPr>
          <w:spacing w:val="-6"/>
        </w:rPr>
        <w:t> </w:t>
      </w:r>
      <w:r>
        <w:rPr/>
        <w:t>floroskopi</w:t>
      </w:r>
      <w:r>
        <w:rPr>
          <w:spacing w:val="-3"/>
        </w:rPr>
        <w:t> </w:t>
      </w:r>
      <w:r>
        <w:rPr>
          <w:spacing w:val="-2"/>
        </w:rPr>
        <w:t>yapar.</w:t>
      </w:r>
    </w:p>
    <w:p>
      <w:pPr>
        <w:pStyle w:val="BodyText"/>
        <w:spacing w:before="1"/>
        <w:ind w:left="191"/>
      </w:pPr>
      <w:r>
        <w:rPr/>
        <w:t>g)</w:t>
      </w:r>
      <w:r>
        <w:rPr>
          <w:spacing w:val="-8"/>
        </w:rPr>
        <w:t> </w:t>
      </w:r>
      <w:r>
        <w:rPr/>
        <w:t>Tabip</w:t>
      </w:r>
      <w:r>
        <w:rPr>
          <w:spacing w:val="-6"/>
        </w:rPr>
        <w:t> </w:t>
      </w:r>
      <w:r>
        <w:rPr/>
        <w:t>sorumluluğunda</w:t>
      </w:r>
      <w:r>
        <w:rPr>
          <w:spacing w:val="-6"/>
        </w:rPr>
        <w:t> </w:t>
      </w:r>
      <w:r>
        <w:rPr/>
        <w:t>radyoopak</w:t>
      </w:r>
      <w:r>
        <w:rPr>
          <w:spacing w:val="-7"/>
        </w:rPr>
        <w:t> </w:t>
      </w:r>
      <w:r>
        <w:rPr/>
        <w:t>madde</w:t>
      </w:r>
      <w:r>
        <w:rPr>
          <w:spacing w:val="-7"/>
        </w:rPr>
        <w:t> </w:t>
      </w:r>
      <w:r>
        <w:rPr/>
        <w:t>enjeksiyonu</w:t>
      </w:r>
      <w:r>
        <w:rPr>
          <w:spacing w:val="-6"/>
        </w:rPr>
        <w:t> </w:t>
      </w:r>
      <w:r>
        <w:rPr>
          <w:spacing w:val="-2"/>
        </w:rPr>
        <w:t>yapar.”</w:t>
      </w:r>
    </w:p>
    <w:p>
      <w:pPr>
        <w:pStyle w:val="BodyText"/>
        <w:ind w:right="133" w:firstLine="50"/>
      </w:pPr>
      <w:r>
        <w:rPr>
          <w:b/>
        </w:rPr>
        <w:t>4-)</w:t>
      </w:r>
      <w:r>
        <w:rPr>
          <w:b/>
          <w:spacing w:val="40"/>
        </w:rPr>
        <w:t>  </w:t>
      </w:r>
      <w:r>
        <w:rPr/>
        <w:t>Aynı düzenlemenin, “aynı anlama gelen” ibarelerle yeniden ihdas edilmesi, daha önceki</w:t>
      </w:r>
      <w:r>
        <w:rPr>
          <w:spacing w:val="40"/>
        </w:rPr>
        <w:t> </w:t>
      </w:r>
      <w:r>
        <w:rPr/>
        <w:t>Danıştay kararına aykırılık oluşturmasından dolayı söz konusu yeniden düzenlemeyi içeren</w:t>
      </w:r>
      <w:r>
        <w:rPr>
          <w:spacing w:val="80"/>
        </w:rPr>
        <w:t> </w:t>
      </w:r>
      <w:r>
        <w:rPr/>
        <w:t>Yönetmelik değişikliği ile görev tanımına eklenen görevlerin, “Tıbbi görüntüleme</w:t>
      </w:r>
      <w:r>
        <w:rPr>
          <w:spacing w:val="80"/>
        </w:rPr>
        <w:t> </w:t>
      </w:r>
      <w:r>
        <w:rPr/>
        <w:t>teknisyeni/teknikeri” görev tanımına aykırı olması nedeniyle Danıştay 10. Dairesi’nde tekrar açılan iptal davası neticesinde;</w:t>
      </w:r>
    </w:p>
    <w:p>
      <w:pPr>
        <w:pStyle w:val="BodyText"/>
        <w:ind w:left="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830884</wp:posOffset>
                </wp:positionH>
                <wp:positionV relativeFrom="paragraph">
                  <wp:posOffset>173492</wp:posOffset>
                </wp:positionV>
                <wp:extent cx="5850255" cy="1914525"/>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5850255" cy="1914525"/>
                        </a:xfrm>
                        <a:prstGeom prst="rect">
                          <a:avLst/>
                        </a:prstGeom>
                        <a:ln w="6096">
                          <a:solidFill>
                            <a:srgbClr val="000000"/>
                          </a:solidFill>
                          <a:prstDash val="solid"/>
                        </a:ln>
                      </wps:spPr>
                      <wps:txbx>
                        <w:txbxContent>
                          <w:p>
                            <w:pPr>
                              <w:spacing w:before="268"/>
                              <w:ind w:left="103" w:right="98" w:firstLine="0"/>
                              <w:jc w:val="both"/>
                              <w:rPr>
                                <w:b/>
                                <w:sz w:val="22"/>
                              </w:rPr>
                            </w:pPr>
                            <w:r>
                              <w:rPr>
                                <w:sz w:val="22"/>
                              </w:rPr>
                              <w:t>“…Buna göre, tıbbi görüntüleme teknisyeni/teknikerlerinin radyoloji merkezlerinde, ünitelerde ve gözetimli radyoloji birimlerinde mobil röntgen veya skopi gibi hareketli cihazların kullanılacağı radyasyon uygulamalarının, anılan Yükseköğretim Kurulu kararında belirtilen uygulamalar olduğu, </w:t>
                            </w:r>
                            <w:r>
                              <w:rPr>
                                <w:b/>
                                <w:sz w:val="24"/>
                                <w:u w:val="thick"/>
                              </w:rPr>
                              <w:t>röntgen teknikeri/teknisyenlerinin bu uygulamalardaki görevlerinin</w:t>
                            </w:r>
                            <w:r>
                              <w:rPr>
                                <w:b/>
                                <w:spacing w:val="40"/>
                                <w:sz w:val="24"/>
                                <w:u w:val="thick"/>
                              </w:rPr>
                              <w:t> </w:t>
                            </w:r>
                            <w:r>
                              <w:rPr>
                                <w:b/>
                                <w:sz w:val="24"/>
                                <w:u w:val="thick"/>
                              </w:rPr>
                              <w:t>"radyonüklid</w:t>
                            </w:r>
                            <w:r>
                              <w:rPr>
                                <w:b/>
                                <w:sz w:val="24"/>
                              </w:rPr>
                              <w:t> </w:t>
                            </w:r>
                            <w:r>
                              <w:rPr>
                                <w:b/>
                                <w:sz w:val="24"/>
                                <w:u w:val="thick"/>
                              </w:rPr>
                              <w:t>görüntüleme ve floroskopi yapmak ya da radyopak madde enjeksiyonu</w:t>
                            </w:r>
                            <w:r>
                              <w:rPr>
                                <w:b/>
                                <w:spacing w:val="-1"/>
                                <w:sz w:val="24"/>
                                <w:u w:val="thick"/>
                              </w:rPr>
                              <w:t> </w:t>
                            </w:r>
                            <w:r>
                              <w:rPr>
                                <w:b/>
                                <w:sz w:val="24"/>
                                <w:u w:val="thick"/>
                              </w:rPr>
                              <w:t>yapmak" olmadığı</w:t>
                            </w:r>
                            <w:r>
                              <w:rPr>
                                <w:b/>
                                <w:sz w:val="24"/>
                              </w:rPr>
                              <w:t> </w:t>
                            </w:r>
                            <w:r>
                              <w:rPr>
                                <w:sz w:val="22"/>
                              </w:rPr>
                              <w:t>anılan</w:t>
                            </w:r>
                            <w:r>
                              <w:rPr>
                                <w:spacing w:val="40"/>
                                <w:sz w:val="22"/>
                              </w:rPr>
                              <w:t> </w:t>
                            </w:r>
                            <w:r>
                              <w:rPr>
                                <w:sz w:val="22"/>
                              </w:rPr>
                              <w:t>Yükseköğretim Kurulu kararı ile de ortaya konulmuştur.” şeklindeki gerekçe ile </w:t>
                            </w:r>
                            <w:r>
                              <w:rPr>
                                <w:b/>
                                <w:sz w:val="22"/>
                                <w:u w:val="thick"/>
                              </w:rPr>
                              <w:t>radyonüklid</w:t>
                            </w:r>
                            <w:r>
                              <w:rPr>
                                <w:b/>
                                <w:sz w:val="22"/>
                              </w:rPr>
                              <w:t> </w:t>
                            </w:r>
                            <w:r>
                              <w:rPr>
                                <w:b/>
                                <w:sz w:val="22"/>
                                <w:u w:val="thick"/>
                              </w:rPr>
                              <w:t>görüntüleme, floroskopi, radyoopak madde enjeksiyonu işlemlerinin</w:t>
                            </w:r>
                            <w:r>
                              <w:rPr>
                                <w:b/>
                                <w:sz w:val="22"/>
                              </w:rPr>
                              <w:t> </w:t>
                            </w:r>
                            <w:r>
                              <w:rPr>
                                <w:b/>
                                <w:sz w:val="22"/>
                                <w:u w:val="thick"/>
                              </w:rPr>
                              <w:t>“TIBBİ GÖRÜNTÜLEME</w:t>
                            </w:r>
                            <w:r>
                              <w:rPr>
                                <w:b/>
                                <w:sz w:val="22"/>
                              </w:rPr>
                              <w:t> </w:t>
                            </w:r>
                            <w:r>
                              <w:rPr>
                                <w:b/>
                                <w:sz w:val="22"/>
                                <w:u w:val="thick"/>
                              </w:rPr>
                              <w:t>TEKNİSYENİ/TEKNİKERİ” GÖREV TANIMINDA BULUNMADIĞI KANAATİNE VARILARAK,</w:t>
                            </w:r>
                            <w:r>
                              <w:rPr>
                                <w:b/>
                                <w:sz w:val="22"/>
                              </w:rPr>
                              <w:t> GÖREV TANIMINA AYKIRI DÜZENLEMELERİN </w:t>
                            </w:r>
                            <w:r>
                              <w:rPr>
                                <w:b/>
                                <w:sz w:val="22"/>
                                <w:u w:val="thick"/>
                              </w:rPr>
                              <w:t>İPTALİNE</w:t>
                            </w:r>
                            <w:r>
                              <w:rPr>
                                <w:b/>
                                <w:sz w:val="22"/>
                              </w:rPr>
                              <w:t> KARAR VERİLMİŞTİR.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5.424004pt;margin-top:13.660789pt;width:460.65pt;height:150.75pt;mso-position-horizontal-relative:page;mso-position-vertical-relative:paragraph;z-index:-15728640;mso-wrap-distance-left:0;mso-wrap-distance-right:0" type="#_x0000_t202" id="docshape1" filled="false" stroked="true" strokeweight=".48004pt" strokecolor="#000000">
                <v:textbox inset="0,0,0,0">
                  <w:txbxContent>
                    <w:p>
                      <w:pPr>
                        <w:spacing w:before="268"/>
                        <w:ind w:left="103" w:right="98" w:firstLine="0"/>
                        <w:jc w:val="both"/>
                        <w:rPr>
                          <w:b/>
                          <w:sz w:val="22"/>
                        </w:rPr>
                      </w:pPr>
                      <w:r>
                        <w:rPr>
                          <w:sz w:val="22"/>
                        </w:rPr>
                        <w:t>“…Buna göre, tıbbi görüntüleme teknisyeni/teknikerlerinin radyoloji merkezlerinde, ünitelerde ve gözetimli radyoloji birimlerinde mobil röntgen veya skopi gibi hareketli cihazların kullanılacağı radyasyon uygulamalarının, anılan Yükseköğretim Kurulu kararında belirtilen uygulamalar olduğu, </w:t>
                      </w:r>
                      <w:r>
                        <w:rPr>
                          <w:b/>
                          <w:sz w:val="24"/>
                          <w:u w:val="thick"/>
                        </w:rPr>
                        <w:t>röntgen teknikeri/teknisyenlerinin bu uygulamalardaki görevlerinin</w:t>
                      </w:r>
                      <w:r>
                        <w:rPr>
                          <w:b/>
                          <w:spacing w:val="40"/>
                          <w:sz w:val="24"/>
                          <w:u w:val="thick"/>
                        </w:rPr>
                        <w:t> </w:t>
                      </w:r>
                      <w:r>
                        <w:rPr>
                          <w:b/>
                          <w:sz w:val="24"/>
                          <w:u w:val="thick"/>
                        </w:rPr>
                        <w:t>"radyonüklid</w:t>
                      </w:r>
                      <w:r>
                        <w:rPr>
                          <w:b/>
                          <w:sz w:val="24"/>
                        </w:rPr>
                        <w:t> </w:t>
                      </w:r>
                      <w:r>
                        <w:rPr>
                          <w:b/>
                          <w:sz w:val="24"/>
                          <w:u w:val="thick"/>
                        </w:rPr>
                        <w:t>görüntüleme ve floroskopi yapmak ya da radyopak madde enjeksiyonu</w:t>
                      </w:r>
                      <w:r>
                        <w:rPr>
                          <w:b/>
                          <w:spacing w:val="-1"/>
                          <w:sz w:val="24"/>
                          <w:u w:val="thick"/>
                        </w:rPr>
                        <w:t> </w:t>
                      </w:r>
                      <w:r>
                        <w:rPr>
                          <w:b/>
                          <w:sz w:val="24"/>
                          <w:u w:val="thick"/>
                        </w:rPr>
                        <w:t>yapmak" olmadığı</w:t>
                      </w:r>
                      <w:r>
                        <w:rPr>
                          <w:b/>
                          <w:sz w:val="24"/>
                        </w:rPr>
                        <w:t> </w:t>
                      </w:r>
                      <w:r>
                        <w:rPr>
                          <w:sz w:val="22"/>
                        </w:rPr>
                        <w:t>anılan</w:t>
                      </w:r>
                      <w:r>
                        <w:rPr>
                          <w:spacing w:val="40"/>
                          <w:sz w:val="22"/>
                        </w:rPr>
                        <w:t> </w:t>
                      </w:r>
                      <w:r>
                        <w:rPr>
                          <w:sz w:val="22"/>
                        </w:rPr>
                        <w:t>Yükseköğretim Kurulu kararı ile de ortaya konulmuştur.” şeklindeki gerekçe ile </w:t>
                      </w:r>
                      <w:r>
                        <w:rPr>
                          <w:b/>
                          <w:sz w:val="22"/>
                          <w:u w:val="thick"/>
                        </w:rPr>
                        <w:t>radyonüklid</w:t>
                      </w:r>
                      <w:r>
                        <w:rPr>
                          <w:b/>
                          <w:sz w:val="22"/>
                        </w:rPr>
                        <w:t> </w:t>
                      </w:r>
                      <w:r>
                        <w:rPr>
                          <w:b/>
                          <w:sz w:val="22"/>
                          <w:u w:val="thick"/>
                        </w:rPr>
                        <w:t>görüntüleme, floroskopi, radyoopak madde enjeksiyonu işlemlerinin</w:t>
                      </w:r>
                      <w:r>
                        <w:rPr>
                          <w:b/>
                          <w:sz w:val="22"/>
                        </w:rPr>
                        <w:t> </w:t>
                      </w:r>
                      <w:r>
                        <w:rPr>
                          <w:b/>
                          <w:sz w:val="22"/>
                          <w:u w:val="thick"/>
                        </w:rPr>
                        <w:t>“TIBBİ GÖRÜNTÜLEME</w:t>
                      </w:r>
                      <w:r>
                        <w:rPr>
                          <w:b/>
                          <w:sz w:val="22"/>
                        </w:rPr>
                        <w:t> </w:t>
                      </w:r>
                      <w:r>
                        <w:rPr>
                          <w:b/>
                          <w:sz w:val="22"/>
                          <w:u w:val="thick"/>
                        </w:rPr>
                        <w:t>TEKNİSYENİ/TEKNİKERİ” GÖREV TANIMINDA BULUNMADIĞI KANAATİNE VARILARAK,</w:t>
                      </w:r>
                      <w:r>
                        <w:rPr>
                          <w:b/>
                          <w:sz w:val="22"/>
                        </w:rPr>
                        <w:t> GÖREV TANIMINA AYKIRI DÜZENLEMELERİN </w:t>
                      </w:r>
                      <w:r>
                        <w:rPr>
                          <w:b/>
                          <w:sz w:val="22"/>
                          <w:u w:val="thick"/>
                        </w:rPr>
                        <w:t>İPTALİNE</w:t>
                      </w:r>
                      <w:r>
                        <w:rPr>
                          <w:b/>
                          <w:sz w:val="22"/>
                        </w:rPr>
                        <w:t> KARAR VERİLMİŞTİR.</w:t>
                      </w:r>
                    </w:p>
                  </w:txbxContent>
                </v:textbox>
                <v:stroke dashstyle="solid"/>
                <w10:wrap type="topAndBottom"/>
              </v:shape>
            </w:pict>
          </mc:Fallback>
        </mc:AlternateContent>
      </w:r>
    </w:p>
    <w:p>
      <w:pPr>
        <w:pStyle w:val="BodyText"/>
        <w:spacing w:before="244"/>
        <w:ind w:left="0"/>
        <w:jc w:val="left"/>
      </w:pPr>
    </w:p>
    <w:p>
      <w:pPr>
        <w:spacing w:line="276" w:lineRule="auto" w:before="0"/>
        <w:ind w:left="141" w:right="136" w:firstLine="0"/>
        <w:jc w:val="both"/>
        <w:rPr>
          <w:sz w:val="22"/>
        </w:rPr>
      </w:pPr>
      <w:r>
        <w:rPr>
          <w:b/>
          <w:sz w:val="22"/>
        </w:rPr>
        <w:t>Sonuç ve İstem: </w:t>
      </w:r>
      <w:r>
        <w:rPr>
          <w:sz w:val="22"/>
        </w:rPr>
        <w:t>Yukarıda belirtilen açıklamalar doğrultusunda, </w:t>
      </w:r>
      <w:r>
        <w:rPr>
          <w:b/>
          <w:sz w:val="22"/>
          <w:u w:val="thick"/>
        </w:rPr>
        <w:t>radyoopak madde enjeksiyonu,</w:t>
      </w:r>
      <w:r>
        <w:rPr>
          <w:b/>
          <w:sz w:val="22"/>
        </w:rPr>
        <w:t> </w:t>
      </w:r>
      <w:r>
        <w:rPr>
          <w:b/>
          <w:sz w:val="22"/>
          <w:u w:val="thick"/>
        </w:rPr>
        <w:t>radyonüklid görüntüleme ve floroskopi</w:t>
      </w:r>
      <w:r>
        <w:rPr>
          <w:b/>
          <w:sz w:val="22"/>
        </w:rPr>
        <w:t> </w:t>
      </w:r>
      <w:r>
        <w:rPr>
          <w:sz w:val="22"/>
        </w:rPr>
        <w:t>işlemlerinin, Danıştay 10. Dairesi kararı doğrultusunda tarafımca</w:t>
      </w:r>
      <w:r>
        <w:rPr>
          <w:spacing w:val="-2"/>
          <w:sz w:val="22"/>
        </w:rPr>
        <w:t> </w:t>
      </w:r>
      <w:r>
        <w:rPr>
          <w:sz w:val="22"/>
        </w:rPr>
        <w:t>yapılamayacağı</w:t>
      </w:r>
      <w:r>
        <w:rPr>
          <w:spacing w:val="-2"/>
          <w:sz w:val="22"/>
        </w:rPr>
        <w:t> </w:t>
      </w:r>
      <w:r>
        <w:rPr>
          <w:sz w:val="22"/>
        </w:rPr>
        <w:t>açık</w:t>
      </w:r>
      <w:r>
        <w:rPr>
          <w:spacing w:val="-2"/>
          <w:sz w:val="22"/>
        </w:rPr>
        <w:t> </w:t>
      </w:r>
      <w:r>
        <w:rPr>
          <w:sz w:val="22"/>
        </w:rPr>
        <w:t>olduğundan,</w:t>
      </w:r>
      <w:r>
        <w:rPr>
          <w:spacing w:val="-2"/>
          <w:sz w:val="22"/>
        </w:rPr>
        <w:t> </w:t>
      </w:r>
      <w:r>
        <w:rPr>
          <w:sz w:val="22"/>
        </w:rPr>
        <w:t>belirtilen</w:t>
      </w:r>
      <w:r>
        <w:rPr>
          <w:spacing w:val="-2"/>
          <w:sz w:val="22"/>
        </w:rPr>
        <w:t> </w:t>
      </w:r>
      <w:r>
        <w:rPr>
          <w:sz w:val="22"/>
        </w:rPr>
        <w:t>uygulamalarla</w:t>
      </w:r>
      <w:r>
        <w:rPr>
          <w:spacing w:val="-2"/>
          <w:sz w:val="22"/>
        </w:rPr>
        <w:t> </w:t>
      </w:r>
      <w:r>
        <w:rPr>
          <w:sz w:val="22"/>
        </w:rPr>
        <w:t>ilgili</w:t>
      </w:r>
      <w:r>
        <w:rPr>
          <w:spacing w:val="-2"/>
          <w:sz w:val="22"/>
        </w:rPr>
        <w:t> </w:t>
      </w:r>
      <w:r>
        <w:rPr>
          <w:sz w:val="22"/>
        </w:rPr>
        <w:t>gerekli</w:t>
      </w:r>
      <w:r>
        <w:rPr>
          <w:spacing w:val="-5"/>
          <w:sz w:val="22"/>
        </w:rPr>
        <w:t> </w:t>
      </w:r>
      <w:r>
        <w:rPr>
          <w:sz w:val="22"/>
        </w:rPr>
        <w:t>tedbirlerin</w:t>
      </w:r>
      <w:r>
        <w:rPr>
          <w:spacing w:val="-3"/>
          <w:sz w:val="22"/>
        </w:rPr>
        <w:t> </w:t>
      </w:r>
      <w:r>
        <w:rPr>
          <w:sz w:val="22"/>
        </w:rPr>
        <w:t>alınmasını, uygulamaları yapabilecek gerekli ve yeterli personel görevlendirmesinin yapılmasını, arz ve talep ederim. ……../…….2025</w:t>
      </w:r>
    </w:p>
    <w:p>
      <w:pPr>
        <w:pStyle w:val="BodyText"/>
        <w:tabs>
          <w:tab w:pos="707" w:val="left" w:leader="none"/>
          <w:tab w:pos="6763" w:val="left" w:leader="none"/>
        </w:tabs>
        <w:spacing w:before="201"/>
        <w:jc w:val="left"/>
      </w:pPr>
      <w:r>
        <w:rPr>
          <w:spacing w:val="-5"/>
        </w:rPr>
        <w:t>Tel</w:t>
      </w:r>
      <w:r>
        <w:rPr/>
        <w:tab/>
        <w:t>:</w:t>
      </w:r>
      <w:r>
        <w:rPr>
          <w:spacing w:val="-3"/>
        </w:rPr>
        <w:t> </w:t>
      </w:r>
      <w:r>
        <w:rPr>
          <w:spacing w:val="-2"/>
        </w:rPr>
        <w:t>…………………………………</w:t>
      </w:r>
      <w:r>
        <w:rPr/>
        <w:tab/>
        <w:t>T.C.</w:t>
      </w:r>
      <w:r>
        <w:rPr>
          <w:spacing w:val="-6"/>
        </w:rPr>
        <w:t> </w:t>
      </w:r>
      <w:r>
        <w:rPr/>
        <w:t>No:</w:t>
      </w:r>
      <w:r>
        <w:rPr>
          <w:spacing w:val="-3"/>
        </w:rPr>
        <w:t> </w:t>
      </w:r>
      <w:r>
        <w:rPr>
          <w:spacing w:val="-2"/>
        </w:rPr>
        <w:t>……………………………</w:t>
      </w:r>
    </w:p>
    <w:p>
      <w:pPr>
        <w:pStyle w:val="BodyText"/>
        <w:tabs>
          <w:tab w:pos="6514" w:val="left" w:leader="none"/>
        </w:tabs>
        <w:spacing w:before="241"/>
        <w:jc w:val="left"/>
      </w:pPr>
      <w:r>
        <w:rPr/>
        <w:t>Adres</w:t>
      </w:r>
      <w:r>
        <w:rPr>
          <w:spacing w:val="-3"/>
        </w:rPr>
        <w:t> </w:t>
      </w:r>
      <w:r>
        <w:rPr/>
        <w:t>:</w:t>
      </w:r>
      <w:r>
        <w:rPr>
          <w:spacing w:val="-3"/>
        </w:rPr>
        <w:t> </w:t>
      </w:r>
      <w:r>
        <w:rPr>
          <w:spacing w:val="-2"/>
        </w:rPr>
        <w:t>…………………………………</w:t>
      </w:r>
      <w:r>
        <w:rPr/>
        <w:tab/>
        <w:t>Adı</w:t>
      </w:r>
      <w:r>
        <w:rPr>
          <w:spacing w:val="-5"/>
        </w:rPr>
        <w:t> </w:t>
      </w:r>
      <w:r>
        <w:rPr/>
        <w:t>Soyadı:</w:t>
      </w:r>
      <w:r>
        <w:rPr>
          <w:spacing w:val="44"/>
        </w:rPr>
        <w:t> </w:t>
      </w:r>
      <w:r>
        <w:rPr>
          <w:spacing w:val="-2"/>
        </w:rPr>
        <w:t>………………………….</w:t>
      </w:r>
    </w:p>
    <w:p>
      <w:pPr>
        <w:spacing w:before="240"/>
        <w:ind w:left="141" w:right="0" w:firstLine="0"/>
        <w:jc w:val="left"/>
        <w:rPr>
          <w:sz w:val="22"/>
        </w:rPr>
      </w:pPr>
      <w:r>
        <w:rPr>
          <w:spacing w:val="-2"/>
          <w:sz w:val="22"/>
        </w:rPr>
        <w:t>…………………………………………….</w:t>
      </w:r>
    </w:p>
    <w:sectPr>
      <w:type w:val="continuous"/>
      <w:pgSz w:w="11910" w:h="16840"/>
      <w:pgMar w:top="1360" w:bottom="2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tr-TR" w:eastAsia="en-US" w:bidi="ar-SA"/>
    </w:rPr>
  </w:style>
  <w:style w:styleId="BodyText" w:type="paragraph">
    <w:name w:val="Body Text"/>
    <w:basedOn w:val="Normal"/>
    <w:uiPriority w:val="1"/>
    <w:qFormat/>
    <w:pPr>
      <w:ind w:left="141"/>
      <w:jc w:val="both"/>
    </w:pPr>
    <w:rPr>
      <w:rFonts w:ascii="Calibri" w:hAnsi="Calibri" w:eastAsia="Calibri" w:cs="Calibri"/>
      <w:sz w:val="22"/>
      <w:szCs w:val="22"/>
      <w:lang w:val="tr-TR" w:eastAsia="en-US" w:bidi="ar-SA"/>
    </w:rPr>
  </w:style>
  <w:style w:styleId="Heading1" w:type="paragraph">
    <w:name w:val="Heading 1"/>
    <w:basedOn w:val="Normal"/>
    <w:uiPriority w:val="1"/>
    <w:qFormat/>
    <w:pPr>
      <w:spacing w:before="37"/>
      <w:ind w:right="1"/>
      <w:jc w:val="center"/>
      <w:outlineLvl w:val="1"/>
    </w:pPr>
    <w:rPr>
      <w:rFonts w:ascii="Calibri" w:hAnsi="Calibri" w:eastAsia="Calibri" w:cs="Calibri"/>
      <w:b/>
      <w:bCs/>
      <w:sz w:val="22"/>
      <w:szCs w:val="22"/>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 sahin</dc:creator>
  <dcterms:created xsi:type="dcterms:W3CDTF">2025-07-29T10:10:58Z</dcterms:created>
  <dcterms:modified xsi:type="dcterms:W3CDTF">2025-07-29T10:10:58Z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Microsoft® Word 2016</vt:lpwstr>
  </property>
  <property fmtid="{D5CDD505-2E9C-101B-9397-08002B2CF9AE}" pid="4" name="LastSaved">
    <vt:filetime>2025-07-29T00:00:00Z</vt:filetime>
  </property>
  <property fmtid="{D5CDD505-2E9C-101B-9397-08002B2CF9AE}" pid="5" name="Producer">
    <vt:lpwstr>www.ilovepdf.com</vt:lpwstr>
  </property>
</Properties>
</file>